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Mobile first — jak komunikować się z generacją 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Pokolenie Z to osoby urodzone w latach 1995 - 2015, które z każdym rokiem stają się coraz bardziej znaczącą grupą konsumencką. Kim właściwie jest to pokolenie i co ich motywuje do zakupów? Jakie mają oczekiwania wobec marek, jakimi kanałami do nich docierać, by zdobyć ich lojalność? Tego dowiemy się już w najbliższy czwartek i piątek (8-9 października 2020) podczas Mobile Trends Conference Commerce &amp; Banking.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wyróżnia pokolenie 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 pokolenia dobrze zorientowane w technologii, często określane jako mobile first czy pokoleniem internetowym. Nie bez powodu. </w:t>
      </w:r>
      <w:r>
        <w:rPr>
          <w:rFonts w:ascii="calibri" w:hAnsi="calibri" w:eastAsia="calibri" w:cs="calibri"/>
          <w:sz w:val="24"/>
          <w:szCs w:val="24"/>
        </w:rPr>
        <w:t xml:space="preserve">Większość z nich nie rozstaje się ze smartfonem nawet na chwilkę. Wychowani są “w internecie”, a media społecznościowe to dla nich oczywistość. Znajdziesz ich na Tik-Toku, Twitchu, Instagramie czy Discordzie. </w:t>
      </w:r>
      <w:r>
        <w:rPr>
          <w:rFonts w:ascii="calibri" w:hAnsi="calibri" w:eastAsia="calibri" w:cs="calibri"/>
          <w:sz w:val="24"/>
          <w:szCs w:val="24"/>
          <w:b/>
        </w:rPr>
        <w:t xml:space="preserve">Ich wzorami do naśladowania są influencerzy,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a w szczególności osoby popularne na Tik-Toku, tak zwani Tik-Tokerzy.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Czego dowiesz się na MTC2020 o przedstawicielach generacji 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pierwszego dnia konferencji</w:t>
      </w:r>
      <w:r>
        <w:rPr>
          <w:rFonts w:ascii="calibri" w:hAnsi="calibri" w:eastAsia="calibri" w:cs="calibri"/>
          <w:sz w:val="24"/>
          <w:szCs w:val="24"/>
          <w:b/>
        </w:rPr>
        <w:t xml:space="preserve"> Marcin Pyć (Grupa LTTM)</w:t>
      </w:r>
      <w:r>
        <w:rPr>
          <w:rFonts w:ascii="calibri" w:hAnsi="calibri" w:eastAsia="calibri" w:cs="calibri"/>
          <w:sz w:val="24"/>
          <w:szCs w:val="24"/>
        </w:rPr>
        <w:t xml:space="preserve"> pokaże, jak na strategię w influencer marketingu wpłynął czas pandemii, na który żadna z marek nie była przygotowana. 30% wzrost zasięgów twórców nie miał tak dużego wpływu na współpracę z markami, jak wiarygodność, która stała się kluczową wartością. Tego samego dnia </w:t>
      </w:r>
      <w:r>
        <w:rPr>
          <w:rFonts w:ascii="calibri" w:hAnsi="calibri" w:eastAsia="calibri" w:cs="calibri"/>
          <w:sz w:val="24"/>
          <w:szCs w:val="24"/>
          <w:b/>
        </w:rPr>
        <w:t xml:space="preserve">Albert Stęclik </w:t>
      </w:r>
      <w:r>
        <w:rPr>
          <w:rFonts w:ascii="calibri" w:hAnsi="calibri" w:eastAsia="calibri" w:cs="calibri"/>
          <w:sz w:val="24"/>
          <w:szCs w:val="24"/>
        </w:rPr>
        <w:t xml:space="preserve">(</w:t>
      </w:r>
      <w:r>
        <w:rPr>
          <w:rFonts w:ascii="calibri" w:hAnsi="calibri" w:eastAsia="calibri" w:cs="calibri"/>
          <w:sz w:val="24"/>
          <w:szCs w:val="24"/>
          <w:b/>
        </w:rPr>
        <w:t xml:space="preserve">Dziadek do orzechów)</w:t>
      </w:r>
      <w:r>
        <w:rPr>
          <w:rFonts w:ascii="calibri" w:hAnsi="calibri" w:eastAsia="calibri" w:cs="calibri"/>
          <w:sz w:val="24"/>
          <w:szCs w:val="24"/>
        </w:rPr>
        <w:t xml:space="preserve"> przełoży nurt poznawczo-behawioralny w psychologii na działania marketingowe. Wszystko oczywiście nawiązując do branży commerce i retail.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Drugiego dnia od</w:t>
      </w:r>
      <w:r>
        <w:rPr>
          <w:rFonts w:ascii="calibri" w:hAnsi="calibri" w:eastAsia="calibri" w:cs="calibri"/>
          <w:sz w:val="24"/>
          <w:szCs w:val="24"/>
          <w:b/>
        </w:rPr>
        <w:t xml:space="preserve"> Roberta Sosnowskiego (Reach a Blogger)</w:t>
      </w:r>
      <w:r>
        <w:rPr>
          <w:rFonts w:ascii="calibri" w:hAnsi="calibri" w:eastAsia="calibri" w:cs="calibri"/>
          <w:sz w:val="24"/>
          <w:szCs w:val="24"/>
        </w:rPr>
        <w:t xml:space="preserve"> dowiemy się jak spopularyzować aplikację mobilną banku z udziałem micro influencerów. </w:t>
      </w:r>
      <w:r>
        <w:rPr>
          <w:rFonts w:ascii="calibri" w:hAnsi="calibri" w:eastAsia="calibri" w:cs="calibri"/>
          <w:sz w:val="24"/>
          <w:szCs w:val="24"/>
          <w:b/>
        </w:rPr>
        <w:t xml:space="preserve">Tomasz Pasko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  <w:b/>
        </w:rPr>
        <w:t xml:space="preserve">NotBoring.agency)</w:t>
      </w:r>
      <w:r>
        <w:rPr>
          <w:rFonts w:ascii="calibri" w:hAnsi="calibri" w:eastAsia="calibri" w:cs="calibri"/>
          <w:sz w:val="24"/>
          <w:szCs w:val="24"/>
        </w:rPr>
        <w:t xml:space="preserve"> zaprezentuje, jak kupuje generacja Z oraz spróbuje przekonać nas, dlaczego reklama na Snapchacie i TikToku jest niezbędna.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pokolenie 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 specjalnej edycji konferencji Mobile Trends</w:t>
      </w:r>
      <w:r>
        <w:rPr>
          <w:rFonts w:ascii="calibri" w:hAnsi="calibri" w:eastAsia="calibri" w:cs="calibri"/>
          <w:sz w:val="24"/>
          <w:szCs w:val="24"/>
        </w:rPr>
        <w:t xml:space="preserve"> jest zróżnicowany i powinien zainteresować nawet najbardziej wymagających uczestników. Tematy prelekcji dotyczą wielu zagadnień, począwszy od</w:t>
      </w:r>
      <w:r>
        <w:rPr>
          <w:rFonts w:ascii="calibri" w:hAnsi="calibri" w:eastAsia="calibri" w:cs="calibri"/>
          <w:sz w:val="24"/>
          <w:szCs w:val="24"/>
          <w:b/>
        </w:rPr>
        <w:t xml:space="preserve"> tworzenia i projektowania aplikacji, trendów związanych z sytuacją post pandemiczną i planami na przyszłość po tematy marketingowe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Konferencja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trosce o komfort i bezpieczeństwo uczestników organizatorzy podjęli decyzję, że październikowa edycja Mobile Trends Conference będzie dostępna wyłącznie online. Na uczestników czeka dwudniowy live-streaming oraz ponad 20 wystąpień ekspertów branż commerce i banking, a to wszystko z dowolnego miejsca na świecie!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Orange Flex zostało Złotym Sponsorem MTC Commerce &amp; Banking oraz Sponsorem transmisji. To właśnie dzięki nim możemy spotkać się online już w najbliższy czwartek i piątek.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8-9 października online.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2025-10-27T07:32:06+01:00</dcterms:created>
  <dcterms:modified xsi:type="dcterms:W3CDTF">2025-10-27T07:32:06+01:00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